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ПРАВИТЕЛЬСТВО РОССИЙСКОЙ ФЕДЕРАЦИИ</w:t>
      </w:r>
      <w:r/>
    </w:p>
    <w:p>
      <w:r/>
      <w:r/>
    </w:p>
    <w:p>
      <w:r>
        <w:t xml:space="preserve">ПОСТАНОВЛЕНИЕ</w:t>
      </w:r>
      <w:r/>
    </w:p>
    <w:p>
      <w:r>
        <w:t xml:space="preserve">от 20 марта 2024 г. N 338</w:t>
      </w:r>
      <w:r/>
    </w:p>
    <w:p>
      <w:r/>
      <w:r/>
    </w:p>
    <w:p>
      <w:r>
        <w:t xml:space="preserve">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</w:t>
      </w:r>
      <w:r>
        <w:t xml:space="preserve">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</w:t>
      </w:r>
      <w:r/>
    </w:p>
    <w:p>
      <w:r>
        <w:t xml:space="preserve">Правительство Российской Федерации постановляет:</w:t>
      </w:r>
      <w:r/>
    </w:p>
    <w:p>
      <w:r>
        <w:t xml:space="preserve">1. Утвердить прилагаемые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</w:t>
      </w:r>
      <w:r>
        <w:t xml:space="preserve">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Федерации.</w:t>
      </w:r>
      <w:r/>
    </w:p>
    <w:p>
      <w:r>
        <w:t xml:space="preserve">2. Требование о наличии подтверждения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</w:t>
      </w:r>
      <w:r>
        <w:t xml:space="preserve">арактеристики квалификации, необходимой работнику для осуществления соответствующего вида профессиональной деятельности (подпункт "б" пункта 3, абзацы второй - пятый подпункта "а" пункта 6, абзацы второй - седьмой подпункта "а" пункта 9 минимальных требован</w:t>
      </w:r>
      <w:r>
        <w:t xml:space="preserve">ий, 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</w:t>
      </w:r>
      <w:r>
        <w:t xml:space="preserve">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Федерации, в отношении специалистов технических, и (или) энергомеханических, и </w:t>
      </w:r>
      <w:r>
        <w:t xml:space="preserve">(или) контрольных, и (или)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</w:t>
      </w:r>
      <w:r>
        <w:t xml:space="preserve">ации.</w:t>
      </w:r>
      <w:r/>
    </w:p>
    <w:p>
      <w:r>
        <w:t xml:space="preserve">3. Признать утратившим силу постановление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</w:t>
      </w:r>
      <w:r>
        <w:t xml:space="preserve">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  <w:r/>
    </w:p>
    <w:p>
      <w:r>
        <w:t xml:space="preserve">4. Настоящее постановление вступает в силу с 1 сентября 2024 г. и действует в течение 6 лет со дня его вступления в силу.</w:t>
      </w:r>
      <w:r/>
    </w:p>
    <w:p>
      <w:r/>
      <w:r/>
    </w:p>
    <w:p>
      <w:r>
        <w:t xml:space="preserve">Председатель Правительства</w:t>
      </w:r>
      <w:r/>
    </w:p>
    <w:p>
      <w:r>
        <w:t xml:space="preserve">Российской Федерации</w:t>
      </w:r>
      <w:r/>
    </w:p>
    <w:p>
      <w:r>
        <w:t xml:space="preserve">М. МИШУСТИН</w:t>
      </w:r>
      <w:r/>
    </w:p>
    <w:p>
      <w:r/>
      <w:r/>
    </w:p>
    <w:p>
      <w:r>
        <w:t xml:space="preserve">УТВЕРЖДЕНЫ</w:t>
      </w:r>
      <w:r/>
    </w:p>
    <w:p>
      <w:r>
        <w:t xml:space="preserve">постановлением Правительства</w:t>
      </w:r>
      <w:r/>
    </w:p>
    <w:p>
      <w:r>
        <w:t xml:space="preserve">Российской Федерации</w:t>
      </w:r>
      <w:r/>
    </w:p>
    <w:p>
      <w:r>
        <w:t xml:space="preserve">от 20 марта 2024 г. N 338</w:t>
      </w:r>
      <w:r/>
    </w:p>
    <w:p>
      <w:r/>
      <w:r/>
    </w:p>
    <w:p>
      <w:r>
        <w:t xml:space="preserve">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</w:t>
      </w:r>
      <w:r>
        <w:t xml:space="preserve"> ОБЪЕКТОВ ИСПОЛЬЗОВАНИЯ АТОМНОЙ ЭНЕРГИИ, УКАЗАННЫХ В ПОДПУНКТАХ "А" И "Б" ПУНКТА 1 ЧАСТИ 1 СТАТЬИ 48.1 ГРАДОСТРОИТЕЛЬНОГО КОДЕКСА РОССИЙСКОЙ ФЕДЕРАЦИИ</w:t>
      </w:r>
      <w:r/>
    </w:p>
    <w:p>
      <w:r/>
      <w:r/>
    </w:p>
    <w:p>
      <w:r/>
      <w:r/>
    </w:p>
    <w:p>
      <w:r>
        <w:t xml:space="preserve">I. Общие положения</w:t>
      </w:r>
      <w:r/>
    </w:p>
    <w:p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</w:t>
      </w:r>
      <w:r>
        <w:t xml:space="preserve">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Федерации.</w:t>
      </w:r>
      <w:r/>
    </w:p>
    <w:p>
      <w:r/>
      <w:r/>
    </w:p>
    <w:p>
      <w:r>
        <w:t xml:space="preserve">II.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 и технически сложных объектов, являющи</w:t>
      </w:r>
      <w:r>
        <w:t xml:space="preserve">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"а" и "б" пункта 1 части 1 статьи 48.1 Градостроител</w:t>
      </w:r>
      <w:r>
        <w:t xml:space="preserve">ьного кодекса Российской Федерации</w:t>
      </w:r>
      <w:r/>
    </w:p>
    <w:p>
      <w:r>
        <w:t xml:space="preserve">2. 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являющ</w:t>
      </w:r>
      <w:r>
        <w:t xml:space="preserve">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"а" и "б" пункта 1 части 1 статьи 48.1 Градостроите</w:t>
      </w:r>
      <w:r>
        <w:t xml:space="preserve">льного кодекса Российской Федерации, является 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</w:t>
      </w:r>
      <w:r>
        <w:t xml:space="preserve">кой Федерации в области использования атомной энергии.</w:t>
      </w:r>
      <w:r/>
    </w:p>
    <w:p>
      <w:r/>
      <w:r/>
    </w:p>
    <w:p>
      <w:r>
        <w:t xml:space="preserve">III. Минимальные требования к членам саморегулируемой организации, выполняющим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</w:t>
      </w:r>
      <w:r>
        <w:t xml:space="preserve">технически сложных объектов, являющихся объектами использования атомной энергии</w:t>
      </w:r>
      <w:r/>
    </w:p>
    <w:p>
      <w:r>
        <w:t xml:space="preserve"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</w:t>
      </w:r>
      <w:r>
        <w:t xml:space="preserve">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  <w:r/>
    </w:p>
    <w:p>
      <w:r>
        <w:t xml:space="preserve"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</w:t>
      </w:r>
      <w:r>
        <w:t xml:space="preserve">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</w:t>
      </w:r>
      <w:r>
        <w:t xml:space="preserve">ысканий и архитектурно-строительного проектирования;</w:t>
      </w:r>
      <w:r/>
    </w:p>
    <w:p>
      <w:r>
        <w:t xml:space="preserve">б) не менее 3 специалистов технических, и (или) энергомеханических,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сведения о </w:t>
      </w:r>
      <w:r>
        <w:t xml:space="preserve">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</w:t>
      </w:r>
      <w:r>
        <w:t xml:space="preserve">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законом "О независимой оценке </w:t>
      </w:r>
      <w:r>
        <w:t xml:space="preserve">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  <w:r/>
    </w:p>
    <w:p>
      <w:r>
        <w:t xml:space="preserve">4.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</w:t>
      </w:r>
      <w:r>
        <w:t xml:space="preserve">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</w:t>
      </w:r>
      <w:r>
        <w:t xml:space="preserve">сертифицированного,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  <w:r/>
    </w:p>
    <w:p>
      <w:r>
        <w:t xml:space="preserve">5.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</w:t>
      </w:r>
      <w:r>
        <w:t xml:space="preserve">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</w:t>
      </w:r>
      <w:r>
        <w:t xml:space="preserve"> работников, на которых в установленном порядке возложена обязанность по осуществлению такого контроля.</w:t>
      </w:r>
      <w:r/>
    </w:p>
    <w:p>
      <w:r/>
      <w:r/>
    </w:p>
    <w:p>
      <w:r>
        <w:t xml:space="preserve">IV. Минимальные требования к членам саморегулируемой организации, осуществляющим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</w:t>
      </w:r>
      <w:r>
        <w:t xml:space="preserve">льзования атомной энергии</w:t>
      </w:r>
      <w:r/>
    </w:p>
    <w:p>
      <w:r>
        <w:t xml:space="preserve"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</w:t>
      </w:r>
      <w:r>
        <w:t xml:space="preserve">пользования атомной энергии, в отношении кадрового состава являются:</w:t>
      </w:r>
      <w:r/>
    </w:p>
    <w:p>
      <w:r>
        <w:t xml:space="preserve">а) наличие у члена саморегулируемой организации: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</w:t>
      </w:r>
      <w:r>
        <w:t xml:space="preserve">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 догов</w:t>
      </w:r>
      <w:r>
        <w:t xml:space="preserve">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</w:t>
      </w:r>
      <w:r>
        <w:t xml:space="preserve">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</w:t>
      </w:r>
      <w:r>
        <w:t xml:space="preserve">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</w:t>
      </w:r>
      <w:r>
        <w:t xml:space="preserve">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пунктом 1 части 10 статьи 55.16 Градостроительного </w:t>
      </w:r>
      <w:r>
        <w:t xml:space="preserve">кодекса Российской Федерации;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</w:t>
      </w:r>
      <w:r>
        <w:t xml:space="preserve">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 догов</w:t>
      </w:r>
      <w:r>
        <w:t xml:space="preserve">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</w:t>
      </w:r>
      <w:r>
        <w:t xml:space="preserve">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</w:t>
      </w:r>
      <w:r>
        <w:t xml:space="preserve">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</w:t>
      </w:r>
      <w:r>
        <w:t xml:space="preserve">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пунктом 2 части 10 статьи 55.16 Градостроительного </w:t>
      </w:r>
      <w:r>
        <w:t xml:space="preserve">кодекса Российской Федерации;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</w:t>
      </w:r>
      <w:r>
        <w:t xml:space="preserve">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 догов</w:t>
      </w:r>
      <w:r>
        <w:t xml:space="preserve">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</w:t>
      </w:r>
      <w:r>
        <w:t xml:space="preserve">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</w:t>
      </w:r>
      <w:r>
        <w:t xml:space="preserve">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</w:t>
      </w:r>
      <w:r>
        <w:t xml:space="preserve">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пунктом 3 части 10 статьи 55.16 Градостроительного</w:t>
      </w:r>
      <w:r>
        <w:t xml:space="preserve"> кодекса Российской Федерации;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</w:t>
      </w:r>
      <w:r>
        <w:t xml:space="preserve">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 догов</w:t>
      </w:r>
      <w:r>
        <w:t xml:space="preserve">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</w:t>
      </w:r>
      <w:r>
        <w:t xml:space="preserve">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</w:t>
      </w:r>
      <w:r>
        <w:t xml:space="preserve">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</w:t>
      </w:r>
      <w:r>
        <w:t xml:space="preserve">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пунктом 4 части 10 статьи 55.16 Градостроительно</w:t>
      </w:r>
      <w:r>
        <w:t xml:space="preserve">го кодекса Российской Федерации;</w:t>
      </w:r>
      <w:r/>
    </w:p>
    <w:p>
      <w:r>
        <w:t xml:space="preserve"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</w:t>
      </w:r>
      <w:r>
        <w:t xml:space="preserve">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  <w:r/>
    </w:p>
    <w:p>
      <w:r>
        <w:t xml:space="preserve">7.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</w:t>
      </w:r>
      <w:r>
        <w:t xml:space="preserve">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</w:t>
      </w:r>
      <w:r>
        <w:t xml:space="preserve"> в случае необходимости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  <w:r/>
    </w:p>
    <w:p>
      <w:r>
        <w:t xml:space="preserve"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</w:t>
      </w:r>
      <w:r>
        <w:t xml:space="preserve">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</w:t>
      </w:r>
      <w:r>
        <w:t xml:space="preserve">жена обязанность по осуществлению такого контроля.</w:t>
      </w:r>
      <w:r/>
    </w:p>
    <w:p>
      <w:r/>
      <w:r/>
    </w:p>
    <w:p>
      <w:r>
        <w:t xml:space="preserve">V. Минимальные требования к членам саморегулируемой организации, осуществляющим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</w:t>
      </w:r>
      <w:r>
        <w:t xml:space="preserve">щихся объектами использования атомной энергии</w:t>
      </w:r>
      <w:r/>
    </w:p>
    <w:p>
      <w:r>
        <w:t xml:space="preserve"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</w:t>
      </w:r>
      <w:r>
        <w:t xml:space="preserve">ляющихся объектами использования атомной энергии, в отношении кадрового состава являются:</w:t>
      </w:r>
      <w:r/>
    </w:p>
    <w:p>
      <w:r>
        <w:t xml:space="preserve">а) наличие у члена саморегулируемой организации: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</w:t>
      </w:r>
      <w:r>
        <w:t xml:space="preserve">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</w:t>
      </w:r>
      <w:r>
        <w:t xml:space="preserve">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</w:t>
      </w:r>
      <w:r>
        <w:t xml:space="preserve">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</w:t>
      </w:r>
      <w:r>
        <w:t xml:space="preserve">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</w:t>
      </w:r>
      <w:r>
        <w:t xml:space="preserve">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</w:t>
      </w:r>
      <w:r>
        <w:t xml:space="preserve">морегулируемой организации, установленному пунктом 1 части 12 статьи 55.16 Градостроительного кодекса Российской Федерации;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</w:t>
      </w:r>
      <w:r>
        <w:t xml:space="preserve">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 договору, в том числе по со</w:t>
      </w:r>
      <w:r>
        <w:t xml:space="preserve">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</w:t>
      </w:r>
      <w:r>
        <w:t xml:space="preserve">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</w:t>
      </w:r>
      <w:r>
        <w:t xml:space="preserve">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</w:t>
      </w:r>
      <w:r>
        <w:t xml:space="preserve">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</w:t>
      </w:r>
      <w:r>
        <w:t xml:space="preserve">морегулируемой организации, установленному пунктом 2 части 12 статьи 55.16 Градостроительного кодекса Российской Федерации;</w:t>
      </w:r>
      <w:r/>
    </w:p>
    <w:p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</w:t>
      </w:r>
      <w:r>
        <w:t xml:space="preserve">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 договору, в том числе по со</w:t>
      </w:r>
      <w:r>
        <w:t xml:space="preserve">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</w:t>
      </w:r>
      <w:r>
        <w:t xml:space="preserve">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</w:t>
      </w:r>
      <w:r>
        <w:t xml:space="preserve">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</w:t>
      </w:r>
      <w:r>
        <w:t xml:space="preserve">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</w:t>
      </w:r>
      <w:r>
        <w:t xml:space="preserve">аморегулируемой организации, установленному пунктом 3 части 12 статьи 55.16 Градостроительного кодекса Российской Федерации;</w:t>
      </w:r>
      <w:r/>
    </w:p>
    <w:p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</w:t>
      </w:r>
      <w:r>
        <w:t xml:space="preserve">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 договору, в том числе по со</w:t>
      </w:r>
      <w:r>
        <w:t xml:space="preserve">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</w:t>
      </w:r>
      <w:r>
        <w:t xml:space="preserve">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</w:t>
      </w:r>
      <w:r>
        <w:t xml:space="preserve">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</w:t>
      </w:r>
      <w:r>
        <w:t xml:space="preserve">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</w:t>
      </w:r>
      <w:r>
        <w:t xml:space="preserve"> саморегулируемой организации, установленному пунктом 4 части 12 статьи 55.16 Градостроительного кодекса Российской Федерации;</w:t>
      </w:r>
      <w:r/>
    </w:p>
    <w:p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</w:t>
      </w:r>
      <w:r>
        <w:t xml:space="preserve">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 договору, в том числе по со</w:t>
      </w:r>
      <w:r>
        <w:t xml:space="preserve">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</w:t>
      </w:r>
      <w:r>
        <w:t xml:space="preserve">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</w:t>
      </w:r>
      <w:r>
        <w:t xml:space="preserve">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</w:t>
      </w:r>
      <w:r>
        <w:t xml:space="preserve">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</w:t>
      </w:r>
      <w:r>
        <w:t xml:space="preserve">орегулируемой организации, установленному пунктом 5 части 12 статьи 55.16 Градостроительного кодекса Российской Федерации;</w:t>
      </w:r>
      <w:r/>
    </w:p>
    <w:p>
      <w:r>
        <w:t xml:space="preserve"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</w:t>
      </w:r>
      <w:r>
        <w:t xml:space="preserve">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 договору, в том числе по со</w:t>
      </w:r>
      <w:r>
        <w:t xml:space="preserve">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</w:t>
      </w:r>
      <w:r>
        <w:t xml:space="preserve">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</w:t>
      </w:r>
      <w:r>
        <w:t xml:space="preserve">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</w:t>
      </w:r>
      <w:r>
        <w:t xml:space="preserve">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</w:t>
      </w:r>
      <w:r>
        <w:t xml:space="preserve">орегулируемой организации, установленному пунктом 6 части 12 статьи 55.16 Градостроительного кодекса Российской Федерации;</w:t>
      </w:r>
      <w:r/>
    </w:p>
    <w:p>
      <w:r>
        <w:t xml:space="preserve"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</w:t>
      </w:r>
      <w:r>
        <w:t xml:space="preserve">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  <w:r/>
    </w:p>
    <w:p>
      <w:r>
        <w:t xml:space="preserve">10.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</w:t>
      </w:r>
      <w:r>
        <w:t xml:space="preserve">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</w:t>
      </w:r>
      <w:r>
        <w:t xml:space="preserve">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</w:t>
      </w:r>
      <w:r>
        <w:t xml:space="preserve">ией.</w:t>
      </w:r>
      <w:r/>
    </w:p>
    <w:p>
      <w:r>
        <w:t xml:space="preserve">11.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</w:t>
      </w:r>
      <w:r>
        <w:t xml:space="preserve">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</w:t>
      </w:r>
      <w:r>
        <w:t xml:space="preserve">овленном порядке возложена обязанность по осуществлению такого контроля.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2024-04-09T11:08:31Z</dcterms:modified>
</cp:coreProperties>
</file>